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Maintenance therapy and time to relapse: a survival analysis</w:t>
      </w:r>
    </w:p>
    <w:p>
      <w:pPr>
        <w:pStyle w:val="Author"/>
      </w:pPr>
      <w:r>
        <w:t xml:space="preserve">Mizura</w:t>
      </w:r>
    </w:p>
    <w:p>
      <w:pPr>
        <w:pStyle w:val="Date"/>
      </w:pPr>
      <w:r>
        <w:t xml:space="preserve">8 November 2026</w:t>
      </w:r>
    </w:p>
    <w:bookmarkStart w:id="9" w:name="question-and-data"/>
    <w:p>
      <w:pPr>
        <w:pStyle w:val="Heading1"/>
      </w:pPr>
      <w:r>
        <w:rPr>
          <w:rStyle w:val="SectionNumber"/>
        </w:rPr>
        <w:t xml:space="preserve">1</w:t>
      </w:r>
      <w:r>
        <w:tab/>
      </w:r>
      <w:r>
        <w:t xml:space="preserve">Question and data</w:t>
      </w:r>
    </w:p>
    <w:p>
      <w:pPr>
        <w:pStyle w:val="FirstParagraph"/>
      </w:pPr>
      <w:r>
        <w:t xml:space="preserve">Does maintenance therapy delay relapse? The dataset follows 60 patients in each of two arms, control and maintenance, for up to 36 months. 46 control patients and 34 maintenance patients relapsed. The rest were still relapse-free when last seen, or left the study; they are censored, and the analysis keeps them in. The data are simulated, so the findings illustrate the method and are not a clinical result.</w:t>
      </w:r>
    </w:p>
    <w:bookmarkEnd w:id="9"/>
    <w:bookmarkStart w:id="13" w:name="survival-curves"/>
    <w:p>
      <w:pPr>
        <w:pStyle w:val="Heading1"/>
      </w:pPr>
      <w:r>
        <w:rPr>
          <w:rStyle w:val="SectionNumber"/>
        </w:rPr>
        <w:t xml:space="preserve">2</w:t>
      </w:r>
      <w:r>
        <w:tab/>
      </w:r>
      <w:r>
        <w:t xml:space="preserve">Survival curves</w:t>
      </w:r>
    </w:p>
    <w:p>
      <w:pPr>
        <w:pStyle w:val="CaptionedFigure"/>
      </w:pPr>
      <w:r>
        <w:drawing>
          <wp:inline>
            <wp:extent cx="4314825" cy="2922945"/>
            <wp:effectExtent b="0" l="0" r="0" t="0"/>
            <wp:docPr descr="Relapse-free survival by arm. Tick marks show patients still relapse-free when last seen." title="" id="11" name="Picture"/>
            <a:graphic>
              <a:graphicData uri="http://schemas.openxmlformats.org/drawingml/2006/picture">
                <pic:pic>
                  <pic:nvPicPr>
                    <pic:cNvPr descr="relapse.png" id="12" name="Picture"/>
                    <pic:cNvPicPr>
                      <a:picLocks noChangeArrowheads="1" noChangeAspect="1"/>
                    </pic:cNvPicPr>
                  </pic:nvPicPr>
                  <pic:blipFill>
                    <a:blip r:embed="rId10"/>
                    <a:stretch>
                      <a:fillRect/>
                    </a:stretch>
                  </pic:blipFill>
                  <pic:spPr bwMode="auto">
                    <a:xfrm>
                      <a:off x="0" y="0"/>
                      <a:ext cx="4314825" cy="2922945"/>
                    </a:xfrm>
                    <a:prstGeom prst="rect">
                      <a:avLst/>
                    </a:prstGeom>
                    <a:noFill/>
                    <a:ln w="9525">
                      <a:noFill/>
                      <a:headEnd/>
                      <a:tailEnd/>
                    </a:ln>
                  </pic:spPr>
                </pic:pic>
              </a:graphicData>
            </a:graphic>
          </wp:inline>
        </w:drawing>
      </w:r>
    </w:p>
    <w:p>
      <w:pPr>
        <w:pStyle w:val="ImageCaption"/>
      </w:pPr>
      <w:r>
        <w:t xml:space="preserve">Relapse-free survival by arm. Tick marks show patients still relapse-free when last seen.</w:t>
      </w:r>
    </w:p>
    <w:p>
      <w:pPr>
        <w:pStyle w:val="BodyText"/>
      </w:pPr>
      <w:r>
        <w:t xml:space="preserve">Median time to relapse was 24.1 months on maintenance and 9.9 months on control. The share relapse-free at 12 months was 71.6% on maintenance and 47.2% on control.</w:t>
      </w:r>
    </w:p>
    <w:tbl>
      <w:tblPr>
        <w:tblStyle w:val="Table"/>
        <w:tblW w:type="pct" w:w="5000"/>
        <w:tblLayout w:type="fixed"/>
        <w:tblLook w:firstRow="1" w:lastRow="0" w:firstColumn="0" w:lastColumn="0" w:noHBand="0" w:noVBand="0" w:val="0020"/>
      </w:tblPr>
      <w:tblGrid>
        <w:gridCol w:w="4470"/>
        <w:gridCol w:w="1532"/>
        <w:gridCol w:w="1916"/>
      </w:tblGrid>
      <w:tr>
        <w:trPr>
          <w:tblHeader w:val="on"/>
        </w:trPr>
        <w:tc>
          <w:tcPr/>
          <w:p>
            <w:pPr>
              <w:pStyle w:val="TableText"/>
              <w:jc w:val="left"/>
            </w:pPr>
            <w:r>
              <w:rPr>
                <w:b/>
                <w:bCs/>
              </w:rPr>
              <w:t xml:space="preserve">Measure</w:t>
            </w:r>
          </w:p>
        </w:tc>
        <w:tc>
          <w:tcPr/>
          <w:p>
            <w:pPr>
              <w:pStyle w:val="TableText"/>
              <w:jc w:val="left"/>
            </w:pPr>
            <w:r>
              <w:rPr>
                <w:b/>
                <w:bCs/>
              </w:rPr>
              <w:t xml:space="preserve">Control</w:t>
            </w:r>
          </w:p>
        </w:tc>
        <w:tc>
          <w:tcPr/>
          <w:p>
            <w:pPr>
              <w:pStyle w:val="TableText"/>
              <w:jc w:val="left"/>
            </w:pPr>
            <w:r>
              <w:rPr>
                <w:b/>
                <w:bCs/>
              </w:rPr>
              <w:t xml:space="preserve">Maintenance</w:t>
            </w:r>
          </w:p>
        </w:tc>
      </w:tr>
      <w:tr>
        <w:tc>
          <w:tcPr/>
          <w:p>
            <w:pPr>
              <w:pStyle w:val="TableText"/>
              <w:jc w:val="left"/>
            </w:pPr>
            <w:r>
              <w:t xml:space="preserve">Relapses</w:t>
            </w:r>
          </w:p>
        </w:tc>
        <w:tc>
          <w:tcPr/>
          <w:p>
            <w:pPr>
              <w:pStyle w:val="TableText"/>
              <w:jc w:val="left"/>
            </w:pPr>
            <w:r>
              <w:t xml:space="preserve">46 of 60</w:t>
            </w:r>
          </w:p>
        </w:tc>
        <w:tc>
          <w:tcPr/>
          <w:p>
            <w:pPr>
              <w:pStyle w:val="TableText"/>
              <w:jc w:val="left"/>
            </w:pPr>
            <w:r>
              <w:t xml:space="preserve">34 of 60</w:t>
            </w:r>
          </w:p>
        </w:tc>
      </w:tr>
      <w:tr>
        <w:tc>
          <w:tcPr/>
          <w:p>
            <w:pPr>
              <w:pStyle w:val="TableText"/>
              <w:jc w:val="left"/>
            </w:pPr>
            <w:r>
              <w:t xml:space="preserve">Median time to relapse (months)</w:t>
            </w:r>
          </w:p>
        </w:tc>
        <w:tc>
          <w:tcPr/>
          <w:p>
            <w:pPr>
              <w:pStyle w:val="TableText"/>
              <w:jc w:val="left"/>
            </w:pPr>
            <w:r>
              <w:t xml:space="preserve">9.9</w:t>
            </w:r>
          </w:p>
        </w:tc>
        <w:tc>
          <w:tcPr/>
          <w:p>
            <w:pPr>
              <w:pStyle w:val="TableText"/>
              <w:jc w:val="left"/>
            </w:pPr>
            <w:r>
              <w:t xml:space="preserve">24.1</w:t>
            </w:r>
          </w:p>
        </w:tc>
      </w:tr>
      <w:tr>
        <w:tc>
          <w:tcPr/>
          <w:p>
            <w:pPr>
              <w:pStyle w:val="TableText"/>
              <w:jc w:val="left"/>
            </w:pPr>
            <w:r>
              <w:t xml:space="preserve">Relapse-free at 12 months</w:t>
            </w:r>
          </w:p>
        </w:tc>
        <w:tc>
          <w:tcPr/>
          <w:p>
            <w:pPr>
              <w:pStyle w:val="TableText"/>
              <w:jc w:val="left"/>
            </w:pPr>
            <w:r>
              <w:t xml:space="preserve">47.2%</w:t>
            </w:r>
          </w:p>
        </w:tc>
        <w:tc>
          <w:tcPr/>
          <w:p>
            <w:pPr>
              <w:pStyle w:val="TableText"/>
              <w:jc w:val="left"/>
            </w:pPr>
            <w:r>
              <w:t xml:space="preserve">71.6%</w:t>
            </w:r>
          </w:p>
        </w:tc>
      </w:tr>
    </w:tbl>
    <w:bookmarkEnd w:id="13"/>
    <w:bookmarkStart w:id="14" w:name="comparison"/>
    <w:p>
      <w:pPr>
        <w:pStyle w:val="Heading1"/>
      </w:pPr>
      <w:r>
        <w:rPr>
          <w:rStyle w:val="SectionNumber"/>
        </w:rPr>
        <w:t xml:space="preserve">3</w:t>
      </w:r>
      <w:r>
        <w:tab/>
      </w:r>
      <w:r>
        <w:t xml:space="preserve">Comparison</w:t>
      </w:r>
    </w:p>
    <w:p>
      <w:pPr>
        <w:pStyle w:val="FirstParagraph"/>
      </w:pPr>
      <w:r>
        <w:t xml:space="preserve">A log-rank test finds the two curves differ (chi-square = 8.59, p = .003). A Cox model puts the hazard of relapse on maintenance at 0.52 times the hazard on control (95% CI [0.33, 0.81]).</w:t>
      </w:r>
    </w:p>
    <w:bookmarkEnd w:id="14"/>
    <w:bookmarkStart w:id="15" w:name="diagnostics"/>
    <w:p>
      <w:pPr>
        <w:pStyle w:val="Heading1"/>
      </w:pPr>
      <w:r>
        <w:rPr>
          <w:rStyle w:val="SectionNumber"/>
        </w:rPr>
        <w:t xml:space="preserve">4</w:t>
      </w:r>
      <w:r>
        <w:tab/>
      </w:r>
      <w:r>
        <w:t xml:space="preserve">Diagnostics</w:t>
      </w:r>
    </w:p>
    <w:p>
      <w:pPr>
        <w:pStyle w:val="FirstParagraph"/>
      </w:pPr>
      <w:r>
        <w:t xml:space="preserve">The proportional-hazards test does not reject (p = 0.278), so one hazard ratio is a fair summary of the whole follow-up.</w:t>
      </w:r>
    </w:p>
    <w:bookmarkEnd w:id="15"/>
    <w:bookmarkStart w:id="16" w:name="interpretation"/>
    <w:p>
      <w:pPr>
        <w:pStyle w:val="Heading1"/>
      </w:pPr>
      <w:r>
        <w:rPr>
          <w:rStyle w:val="SectionNumber"/>
        </w:rPr>
        <w:t xml:space="preserve">5</w:t>
      </w:r>
      <w:r>
        <w:tab/>
      </w:r>
      <w:r>
        <w:t xml:space="preserve">Interpretation</w:t>
      </w:r>
    </w:p>
    <w:p>
      <w:pPr>
        <w:pStyle w:val="FirstParagraph"/>
      </w:pPr>
      <w:r>
        <w:rPr>
          <w:b/>
          <w:bCs/>
        </w:rPr>
        <w:t xml:space="preserve">What the analysis tells us</w:t>
      </w:r>
      <w:r>
        <w:t xml:space="preserve">: Patients on maintenance therapy relapsed more slowly in this sample, and the difference is unlikely to be chance alone. The hazard ratio is a single summary of how much slower.</w:t>
      </w:r>
    </w:p>
    <w:p>
      <w:pPr>
        <w:pStyle w:val="BodyText"/>
      </w:pPr>
      <w:r>
        <w:rPr>
          <w:b/>
          <w:bCs/>
        </w:rPr>
        <w:t xml:space="preserve">What the analysis does NOT tell us</w:t>
      </w:r>
      <w:r>
        <w:t xml:space="preserve">: This sample cannot show that maintenance therapy caused the longer relapse-free time, because nothing here says patients were assigned to an arm at random. The hazard ratio describes this sample only.</w:t>
      </w:r>
    </w:p>
    <w:bookmarkEnd w:id="16"/>
    <w:bookmarkStart w:id="17" w:name="limitations"/>
    <w:p>
      <w:pPr>
        <w:pStyle w:val="Heading1"/>
      </w:pPr>
      <w:r>
        <w:rPr>
          <w:rStyle w:val="SectionNumber"/>
        </w:rPr>
        <w:t xml:space="preserve">6</w:t>
      </w:r>
      <w:r>
        <w:tab/>
      </w:r>
      <w:r>
        <w:t xml:space="preserve">Limitations</w:t>
      </w:r>
    </w:p>
    <w:p>
      <w:pPr>
        <w:pStyle w:val="Compact"/>
        <w:numPr>
          <w:ilvl w:val="0"/>
          <w:numId w:val="1001"/>
        </w:numPr>
      </w:pPr>
      <w:r>
        <w:t xml:space="preserve">The data are simulated, with a fixed seed, so every number can be regenerated and none is a finding about real patients.</w:t>
      </w:r>
    </w:p>
    <w:p>
      <w:pPr>
        <w:pStyle w:val="Compact"/>
        <w:numPr>
          <w:ilvl w:val="0"/>
          <w:numId w:val="1001"/>
        </w:numPr>
      </w:pPr>
      <w:r>
        <w:t xml:space="preserve">Follow-up ends at 36 months, so survival beyond that is not estimated.</w:t>
      </w:r>
    </w:p>
    <w:p>
      <w:pPr>
        <w:pStyle w:val="Compact"/>
        <w:numPr>
          <w:ilvl w:val="0"/>
          <w:numId w:val="1001"/>
        </w:numPr>
      </w:pPr>
      <w:r>
        <w:t xml:space="preserve">A median from a censored curve depends on how many patients are still being followed near it.</w:t>
      </w:r>
    </w:p>
    <w:bookmarkEnd w:id="17"/>
    <w:bookmarkStart w:id="18" w:name="recommended-next-steps"/>
    <w:p>
      <w:pPr>
        <w:pStyle w:val="Heading1"/>
      </w:pPr>
      <w:r>
        <w:rPr>
          <w:rStyle w:val="SectionNumber"/>
        </w:rPr>
        <w:t xml:space="preserve">7</w:t>
      </w:r>
      <w:r>
        <w:tab/>
      </w:r>
      <w:r>
        <w:t xml:space="preserve">Recommended next steps</w:t>
      </w:r>
    </w:p>
    <w:p>
      <w:pPr>
        <w:pStyle w:val="Compact"/>
        <w:numPr>
          <w:ilvl w:val="0"/>
          <w:numId w:val="1002"/>
        </w:numPr>
      </w:pPr>
      <w:r>
        <w:t xml:space="preserve">Report the hazard ratio with its interval, not the p-value alone.</w:t>
      </w:r>
    </w:p>
    <w:p>
      <w:pPr>
        <w:pStyle w:val="Compact"/>
        <w:numPr>
          <w:ilvl w:val="0"/>
          <w:numId w:val="1002"/>
        </w:numPr>
      </w:pPr>
      <w:r>
        <w:t xml:space="preserve">Check how the result changes if the earliest censored patients are removed.</w:t>
      </w:r>
    </w:p>
    <w:p>
      <w:pPr>
        <w:pStyle w:val="Compact"/>
        <w:numPr>
          <w:ilvl w:val="0"/>
          <w:numId w:val="1002"/>
        </w:numPr>
      </w:pPr>
      <w:r>
        <w:t xml:space="preserve">If arm assignment was not randomized, adjust for the baseline differences that could drive both arm and relapse.</w:t>
      </w:r>
    </w:p>
    <w:bookmarkEnd w:id="18"/>
    <w:sectPr>
      <w:pgSz w:h="16838" w:w="11906"/>
      <w:pgMar w:bottom="1417" w:footer="709" w:gutter="0" w:header="709" w:left="1417" w:right="1417" w:top="1417"/>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w="http://schemas.openxmlformats.org/wordprocessingml/2006/main">
  <w:docDefaults>
    <w:rPrDefault>
      <w:rPr>
        <w:rFonts w:ascii="Times New Roman" w:cs="Noto Naskh Arabic" w:eastAsia="Times New Roman" w:hAnsi="Times New Roman"/>
        <w:sz w:val="22"/>
        <w:szCs w:val="22"/>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customStyle="1" w:styleId="FirstParagraph" w:type="paragraph">
    <w:name w:val="First Paragraph"/>
    <w:basedOn w:val="BodyText"/>
    <w:next w:val="BodyText"/>
    <w:qFormat/>
  </w:style>
  <w:style w:customStyle="1" w:styleId="TitleChar" w:type="character">
    <w:name w:val="Title Char"/>
    <w:basedOn w:val="DefaultParagraphFont"/>
    <w:link w:val="Title"/>
    <w:uiPriority w:val="10"/>
    <w:rsid w:val="00A10FD9"/>
    <w:rPr>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spacing w:val="15"/>
      <w:sz w:val="28"/>
      <w:szCs w:val="28"/>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rPr>
  </w:style>
  <w:style w:customStyle="1" w:styleId="Heading1Char" w:type="character">
    <w:name w:val="Heading 1 Char"/>
    <w:basedOn w:val="DefaultParagraphFont"/>
    <w:link w:val="Heading1"/>
    <w:uiPriority w:val="9"/>
    <w:rsid w:val="00A10FD9"/>
    <w:rPr>
      <w:sz w:val="40"/>
      <w:szCs w:val="40"/>
    </w:rPr>
  </w:style>
  <w:style w:customStyle="1" w:styleId="Heading2Char" w:type="character">
    <w:name w:val="Heading 2 Char"/>
    <w:basedOn w:val="DefaultParagraphFont"/>
    <w:link w:val="Heading2"/>
    <w:uiPriority w:val="9"/>
    <w:semiHidden/>
    <w:rsid w:val="00A10FD9"/>
    <w:rPr>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rPr>
  </w:style>
  <w:style w:customStyle="1" w:styleId="Heading5Char" w:type="character">
    <w:name w:val="Heading 5 Char"/>
    <w:basedOn w:val="DefaultParagraphFont"/>
    <w:link w:val="Heading5"/>
    <w:uiPriority w:val="9"/>
    <w:semiHidden/>
    <w:rsid w:val="00A10FD9"/>
    <w:rPr>
      <w:rFonts w:cstheme="majorBidi" w:eastAsiaTheme="majorEastAsia"/>
    </w:rPr>
  </w:style>
  <w:style w:customStyle="1" w:styleId="Heading6Char" w:type="character">
    <w:name w:val="Heading 6 Char"/>
    <w:basedOn w:val="DefaultParagraphFont"/>
    <w:link w:val="Heading6"/>
    <w:uiPriority w:val="9"/>
    <w:semiHidden/>
    <w:rsid w:val="00A10FD9"/>
    <w:rPr>
      <w:rFonts w:cstheme="majorBidi" w:eastAsiaTheme="majorEastAsia"/>
      <w:i/>
      <w:iCs/>
    </w:rPr>
  </w:style>
  <w:style w:customStyle="1" w:styleId="Heading7Char" w:type="character">
    <w:name w:val="Heading 7 Char"/>
    <w:basedOn w:val="DefaultParagraphFont"/>
    <w:link w:val="Heading7"/>
    <w:uiPriority w:val="9"/>
    <w:semiHidden/>
    <w:rsid w:val="00A10FD9"/>
    <w:rPr>
      <w:rFonts w:cstheme="majorBidi" w:eastAsiaTheme="majorEastAsia"/>
    </w:rPr>
  </w:style>
  <w:style w:customStyle="1" w:styleId="Heading8Char" w:type="character">
    <w:name w:val="Heading 8 Char"/>
    <w:basedOn w:val="DefaultParagraphFont"/>
    <w:link w:val="Heading8"/>
    <w:uiPriority w:val="9"/>
    <w:semiHidden/>
    <w:rsid w:val="00A10FD9"/>
    <w:rPr>
      <w:rFonts w:cstheme="majorBidi" w:eastAsiaTheme="majorEastAsia"/>
      <w:i/>
      <w:iCs/>
    </w:rPr>
  </w:style>
  <w:style w:customStyle="1" w:styleId="Heading9Char" w:type="character">
    <w:name w:val="Heading 9 Char"/>
    <w:basedOn w:val="DefaultParagraphFont"/>
    <w:link w:val="Heading9"/>
    <w:uiPriority w:val="9"/>
    <w:semiHidden/>
    <w:rsid w:val="00A10FD9"/>
    <w:rPr>
      <w:rFonts w:cstheme="majorBidi" w:eastAsiaTheme="majorEastAsia"/>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rPr>
  </w:style>
  <w:style w:styleId="TOCHeading" w:type="paragraph">
    <w:name w:val="TOC Heading"/>
    <w:basedOn w:val="Heading1"/>
    <w:next w:val="BodyText"/>
    <w:uiPriority w:val="39"/>
    <w:unhideWhenUsed/>
    <w:qFormat/>
    <w:pPr>
      <w:spacing w:before="240" w:line="259" w:lineRule="auto"/>
      <w:outlineLvl w:val="9"/>
    </w:pPr>
    <w:rPr>
      <w:b w:val="0"/>
      <w:bCs w:val="0"/>
    </w:rPr>
  </w:style>
  <w:style w:styleId="BodyText" w:type="paragraph">
    <w:name w:val="Body Text"/>
    <w:basedOn w:val="Normal"/>
    <w:qFormat/>
    <w:pPr>
      <w:spacing w:after="120" w:before="0"/>
      <w:jc w:val="both"/>
    </w:pPr>
    <w:rPr/>
  </w:style>
  <w:style w:styleId="Compact" w:type="paragraph">
    <w:name w:val="Compact"/>
    <w:basedOn w:val="BodyText"/>
    <w:qFormat/>
    <w:pPr>
      <w:spacing w:after="36" w:before="36"/>
      <w:jc w:val="left"/>
    </w:pPr>
    <w:rPr/>
  </w:style>
  <w:style w:styleId="Title" w:type="paragraph">
    <w:name w:val="Title"/>
    <w:basedOn w:val="Normal"/>
    <w:qFormat/>
    <w:pPr>
      <w:keepNext/>
      <w:jc w:val="center"/>
      <w:spacing w:after="200" w:before="0"/>
    </w:pPr>
    <w:rPr>
      <w:b/>
      <w:bCs/>
      <w:sz w:val="32"/>
      <w:szCs w:val="32"/>
    </w:rPr>
  </w:style>
  <w:style w:styleId="Author" w:type="paragraph">
    <w:name w:val="Author"/>
    <w:basedOn w:val="Normal"/>
    <w:qFormat/>
    <w:pPr>
      <w:keepNext/>
      <w:jc w:val="center"/>
    </w:pPr>
    <w:rPr/>
  </w:style>
  <w:style w:styleId="Date" w:type="paragraph">
    <w:name w:val="Date"/>
    <w:basedOn w:val="Normal"/>
    <w:qFormat/>
    <w:pPr>
      <w:keepNext/>
      <w:jc w:val="center"/>
      <w:spacing w:after="360"/>
    </w:pPr>
    <w:rPr/>
  </w:style>
  <w:style w:styleId="Heading1" w:type="paragraph">
    <w:name w:val="Heading 1"/>
    <w:basedOn w:val="Normal"/>
    <w:qFormat/>
    <w:next w:val="BodyText"/>
    <w:pPr>
      <w:keepNext/>
      <w:keepLines/>
      <w:spacing w:after="80" w:before="240"/>
      <w:outlineLvl w:val="0"/>
    </w:pPr>
    <w:rPr>
      <w:b/>
      <w:bCs/>
      <w:sz w:val="28"/>
      <w:szCs w:val="28"/>
    </w:rPr>
  </w:style>
  <w:style w:styleId="Heading2" w:type="paragraph">
    <w:name w:val="Heading 2"/>
    <w:basedOn w:val="Normal"/>
    <w:qFormat/>
    <w:next w:val="BodyText"/>
    <w:pPr>
      <w:keepNext/>
      <w:keepLines/>
      <w:spacing w:after="80" w:before="240"/>
      <w:outlineLvl w:val="1"/>
    </w:pPr>
    <w:rPr>
      <w:b/>
      <w:bCs/>
      <w:sz w:val="24"/>
      <w:szCs w:val="24"/>
    </w:rPr>
  </w:style>
  <w:style w:styleId="Heading3" w:type="paragraph">
    <w:name w:val="Heading 3"/>
    <w:basedOn w:val="Normal"/>
    <w:qFormat/>
    <w:next w:val="BodyText"/>
    <w:pPr>
      <w:keepNext/>
      <w:keepLines/>
      <w:spacing w:after="80" w:before="240"/>
      <w:outlineLvl w:val="2"/>
    </w:pPr>
    <w:rPr>
      <w:b/>
      <w:bCs/>
      <w:i/>
      <w:sz w:val="22"/>
      <w:szCs w:val="22"/>
    </w:rPr>
  </w:style>
  <w:style w:styleId="Heading4" w:type="paragraph">
    <w:name w:val="Heading 4"/>
    <w:basedOn w:val="Normal"/>
    <w:qFormat/>
    <w:next w:val="BodyText"/>
    <w:pPr>
      <w:keepNext/>
      <w:keepLines/>
      <w:spacing w:after="80" w:before="240"/>
      <w:outlineLvl w:val="3"/>
    </w:pPr>
    <w:rPr>
      <w:b/>
      <w:bCs/>
      <w:i/>
      <w:sz w:val="22"/>
      <w:szCs w:val="22"/>
    </w:rPr>
  </w:style>
  <w:style w:styleId="Heading5" w:type="paragraph">
    <w:name w:val="Heading 5"/>
    <w:basedOn w:val="Normal"/>
    <w:qFormat/>
    <w:next w:val="BodyText"/>
    <w:pPr>
      <w:keepNext/>
      <w:keepLines/>
      <w:spacing w:after="80" w:before="240"/>
      <w:outlineLvl w:val="4"/>
    </w:pPr>
    <w:rPr>
      <w:b/>
      <w:bCs/>
      <w:i/>
      <w:sz w:val="22"/>
      <w:szCs w:val="22"/>
    </w:rPr>
  </w:style>
  <w:style w:styleId="Heading6" w:type="paragraph">
    <w:name w:val="Heading 6"/>
    <w:basedOn w:val="Normal"/>
    <w:qFormat/>
    <w:next w:val="BodyText"/>
    <w:pPr>
      <w:keepNext/>
      <w:keepLines/>
      <w:spacing w:after="80" w:before="240"/>
      <w:outlineLvl w:val="5"/>
    </w:pPr>
    <w:rPr>
      <w:b/>
      <w:bCs/>
      <w:i/>
      <w:sz w:val="22"/>
      <w:szCs w:val="22"/>
    </w:rPr>
  </w:style>
  <w:style w:styleId="Caption" w:type="paragraph">
    <w:name w:val="Caption"/>
    <w:basedOn w:val="Normal"/>
    <w:qFormat/>
    <w:pPr>
      <w:spacing w:after="120" w:before="60"/>
      <w:jc w:val="center"/>
    </w:pPr>
    <w:rPr>
      <w:sz w:val="20"/>
      <w:szCs w:val="20"/>
    </w:rPr>
  </w:style>
  <w:style w:styleId="TableCaption" w:type="paragraph">
    <w:name w:val="Table Caption"/>
    <w:basedOn w:val="Caption"/>
    <w:qFormat/>
    <w:pPr>
      <w:keepNext/>
      <w:spacing w:after="80" w:before="240"/>
    </w:pPr>
    <w:rPr/>
  </w:style>
  <w:style w:styleId="Bibliography" w:type="paragraph">
    <w:name w:val="Bibliography"/>
    <w:basedOn w:val="BodyText"/>
    <w:qFormat/>
    <w:pPr>
      <w:spacing w:after="100" w:before="0"/>
      <w:ind w:hanging="360" w:left="360"/>
      <w:jc w:val="left"/>
    </w:pPr>
    <w:rPr/>
  </w:style>
  <w:style w:styleId="TableText" w:type="paragraph">
    <w:name w:val="Table Text"/>
    <w:basedOn w:val="Compact"/>
    <w:qFormat/>
    <w:pPr>
      <w:spacing w:after="20" w:before="20"/>
    </w:pPr>
    <w:rPr>
      <w:sz w:val="20"/>
      <w:szCs w:val="20"/>
    </w:rPr>
  </w:style>
  <w:style w:default="1" w:styleId="Table" w:type="table">
    <w:name w:val="Table"/>
    <w:basedOn w:val="TableNormal"/>
    <w:qFormat/>
    <w:tblPr>
      <w:tblInd w:type="dxa" w:w="0"/>
      <w:tblBorders>
        <w:top w:color="000000" w:space="0" w:sz="8" w:val="single"/>
        <w:bottom w:color="000000" w:space="0" w:sz="8" w:val="single"/>
      </w:tblBorders>
      <w:tblCellMar>
        <w:left w:type="dxa" w:w="60"/>
        <w:right w:type="dxa" w:w="60"/>
      </w:tblCellMar>
    </w:tblPr>
    <w:tblStylePr w:type="firstRow">
      <w:tcPr>
        <w:tcBorders>
          <w:bottom w:color="000000" w:space="0" w:sz="4" w:val="single"/>
        </w:tcBorders>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 Target="media/rId10.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Maintenance therapy and time to relapse: a survival analysis</dc:title>
  <dc:creator>Mizura</dc:creator>
  <cp:keywords/>
  <dcterms:created xsi:type="dcterms:W3CDTF">2026-11-08T10:04:04Z</dcterms:created>
  <dcterms:modified xsi:type="dcterms:W3CDTF">2026-11-08T10:04:04Z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8 November 2026</vt:lpwstr>
  </property>
  <property fmtid="{D5CDD505-2E9C-101B-9397-08002B2CF9AE}" pid="3" name="link-citations">
    <vt:lpwstr>True</vt:lpwstr>
  </property>
</Properties>
</file>